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A1DC6" w:rsidP="005A1DC6">
      <w:pPr>
        <w:spacing w:line="220" w:lineRule="atLeast"/>
        <w:ind w:firstLineChars="200" w:firstLine="800"/>
        <w:rPr>
          <w:rFonts w:asciiTheme="minorEastAsia" w:eastAsiaTheme="minorEastAsia" w:hAnsiTheme="minorEastAsia" w:hint="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涡街流量计的安装注意事项</w:t>
      </w:r>
    </w:p>
    <w:p w:rsidR="005A1DC6" w:rsidRPr="005A1DC6" w:rsidRDefault="005A1DC6" w:rsidP="005A1DC6">
      <w:pPr>
        <w:pStyle w:val="2"/>
        <w:rPr>
          <w:rFonts w:asciiTheme="minorEastAsia" w:eastAsiaTheme="minorEastAsia" w:hAnsiTheme="minorEastAsia" w:hint="eastAsia"/>
          <w:szCs w:val="28"/>
        </w:rPr>
      </w:pPr>
      <w:r w:rsidRPr="005A1DC6">
        <w:rPr>
          <w:rFonts w:asciiTheme="minorEastAsia" w:eastAsiaTheme="minorEastAsia" w:hAnsiTheme="minorEastAsia" w:hint="eastAsia"/>
          <w:szCs w:val="28"/>
        </w:rPr>
        <w:t>安装的基本要求</w:t>
      </w:r>
    </w:p>
    <w:p w:rsidR="005A1DC6" w:rsidRPr="005A1DC6" w:rsidRDefault="005A1DC6" w:rsidP="005A1DC6">
      <w:pPr>
        <w:autoSpaceDE w:val="0"/>
        <w:autoSpaceDN w:val="0"/>
        <w:spacing w:line="320" w:lineRule="exact"/>
        <w:ind w:leftChars="197" w:left="433" w:firstLineChars="147" w:firstLine="413"/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</w:pPr>
      <w:r w:rsidRPr="005A1DC6">
        <w:rPr>
          <w:rFonts w:asciiTheme="minorEastAsia" w:eastAsiaTheme="minorEastAsia" w:hAnsiTheme="minorEastAsia" w:cs="ArialMT" w:hint="eastAsia"/>
          <w:b/>
          <w:color w:val="000000"/>
          <w:sz w:val="28"/>
          <w:szCs w:val="28"/>
        </w:rPr>
        <w:t>1</w:t>
      </w:r>
      <w:r w:rsidRPr="005A1DC6">
        <w:rPr>
          <w:rFonts w:asciiTheme="minorEastAsia" w:eastAsiaTheme="minorEastAsia" w:hAnsiTheme="minorEastAsia" w:cs="ArialUnicodeMS" w:hint="eastAsia"/>
          <w:b/>
          <w:color w:val="000000"/>
          <w:sz w:val="28"/>
          <w:szCs w:val="28"/>
        </w:rPr>
        <w:t>）</w:t>
      </w:r>
      <w:r w:rsidRPr="005A1DC6"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  <w:t xml:space="preserve"> 涡街流量计可安装在室内或室外。如果安装在地井里，且有水淹的可能，应选择潜水型传感器或变送器。</w:t>
      </w:r>
    </w:p>
    <w:p w:rsidR="005A1DC6" w:rsidRPr="005A1DC6" w:rsidRDefault="005A1DC6" w:rsidP="005A1DC6">
      <w:pPr>
        <w:autoSpaceDE w:val="0"/>
        <w:autoSpaceDN w:val="0"/>
        <w:spacing w:line="320" w:lineRule="exact"/>
        <w:ind w:left="310" w:firstLineChars="200" w:firstLine="562"/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</w:pPr>
      <w:r w:rsidRPr="005A1DC6">
        <w:rPr>
          <w:rFonts w:asciiTheme="minorEastAsia" w:eastAsiaTheme="minorEastAsia" w:hAnsiTheme="minorEastAsia" w:cs="ArialMT" w:hint="eastAsia"/>
          <w:b/>
          <w:color w:val="000000"/>
          <w:sz w:val="28"/>
          <w:szCs w:val="28"/>
        </w:rPr>
        <w:t>2</w:t>
      </w:r>
      <w:r w:rsidRPr="005A1DC6">
        <w:rPr>
          <w:rFonts w:asciiTheme="minorEastAsia" w:eastAsiaTheme="minorEastAsia" w:hAnsiTheme="minorEastAsia" w:cs="ArialUnicodeMS" w:hint="eastAsia"/>
          <w:b/>
          <w:color w:val="000000"/>
          <w:sz w:val="28"/>
          <w:szCs w:val="28"/>
        </w:rPr>
        <w:t>）</w:t>
      </w:r>
      <w:r w:rsidRPr="005A1DC6"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  <w:t>涡街流量计在管道上可以水平，垂直或倾斜安装，但当测量液体时，管道内必须充满液体。因此在垂直或倾斜管道上安装涡街流量计，液体珠流动方向应自下向上。</w:t>
      </w:r>
    </w:p>
    <w:p w:rsidR="005A1DC6" w:rsidRPr="005A1DC6" w:rsidRDefault="005A1DC6" w:rsidP="005A1DC6">
      <w:pPr>
        <w:autoSpaceDE w:val="0"/>
        <w:autoSpaceDN w:val="0"/>
        <w:spacing w:line="320" w:lineRule="exact"/>
        <w:ind w:left="310" w:firstLineChars="200" w:firstLine="562"/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</w:pPr>
      <w:r w:rsidRPr="005A1DC6">
        <w:rPr>
          <w:rFonts w:asciiTheme="minorEastAsia" w:eastAsiaTheme="minorEastAsia" w:hAnsiTheme="minorEastAsia" w:cs="ArialMT" w:hint="eastAsia"/>
          <w:b/>
          <w:color w:val="000000"/>
          <w:sz w:val="28"/>
          <w:szCs w:val="28"/>
        </w:rPr>
        <w:t>3</w:t>
      </w:r>
      <w:r w:rsidRPr="005A1DC6">
        <w:rPr>
          <w:rFonts w:asciiTheme="minorEastAsia" w:eastAsiaTheme="minorEastAsia" w:hAnsiTheme="minorEastAsia" w:cs="ArialUnicodeMS" w:hint="eastAsia"/>
          <w:b/>
          <w:color w:val="000000"/>
          <w:sz w:val="28"/>
          <w:szCs w:val="28"/>
        </w:rPr>
        <w:t>）</w:t>
      </w:r>
      <w:r w:rsidRPr="005A1DC6"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  <w:t>涡街头流量计的上游侧和下游侧应留有较长的直管段，要求的上、下游直管段长度随管道状况不同而异。涡街流量计的上游应尽量避免安装调节阀或半开阀门，应将调节阀或半开阀门安装在流量计下游</w:t>
      </w:r>
      <w:r w:rsidRPr="005A1DC6">
        <w:rPr>
          <w:rFonts w:asciiTheme="minorEastAsia" w:eastAsiaTheme="minorEastAsia" w:hAnsiTheme="minorEastAsia" w:cs="ArialMT" w:hint="eastAsia"/>
          <w:color w:val="000000"/>
          <w:sz w:val="28"/>
          <w:szCs w:val="28"/>
        </w:rPr>
        <w:t xml:space="preserve">5D </w:t>
      </w:r>
      <w:r w:rsidRPr="005A1DC6"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  <w:t>之后。不同管道条件下，直管段的安装要求见图7.8。</w:t>
      </w:r>
    </w:p>
    <w:p w:rsidR="005A1DC6" w:rsidRPr="005A1DC6" w:rsidRDefault="005A1DC6" w:rsidP="005A1DC6">
      <w:pPr>
        <w:autoSpaceDE w:val="0"/>
        <w:autoSpaceDN w:val="0"/>
        <w:spacing w:line="320" w:lineRule="exact"/>
        <w:ind w:left="310" w:firstLineChars="200" w:firstLine="562"/>
        <w:rPr>
          <w:rFonts w:asciiTheme="minorEastAsia" w:eastAsiaTheme="minorEastAsia" w:hAnsiTheme="minorEastAsia" w:hint="eastAsia"/>
          <w:sz w:val="28"/>
          <w:szCs w:val="28"/>
        </w:rPr>
      </w:pPr>
      <w:r w:rsidRPr="005A1DC6">
        <w:rPr>
          <w:rFonts w:asciiTheme="minorEastAsia" w:eastAsiaTheme="minorEastAsia" w:hAnsiTheme="minorEastAsia" w:cs="ArialMT" w:hint="eastAsia"/>
          <w:b/>
          <w:sz w:val="28"/>
          <w:szCs w:val="28"/>
        </w:rPr>
        <w:t>4</w:t>
      </w:r>
      <w:r w:rsidRPr="005A1DC6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Pr="005A1DC6">
        <w:rPr>
          <w:rFonts w:asciiTheme="minorEastAsia" w:eastAsiaTheme="minorEastAsia" w:hAnsiTheme="minorEastAsia" w:hint="eastAsia"/>
          <w:sz w:val="28"/>
          <w:szCs w:val="28"/>
        </w:rPr>
        <w:t>安装涡街流量计的管道必须与流量计内径一致，否则管道必须变径。用户可根据管道和施工的具体条件，按本产品操作手册中的有关章节进行设计安装。缩管安装所需直管长度参照图7.9。</w:t>
      </w:r>
    </w:p>
    <w:p w:rsidR="005A1DC6" w:rsidRPr="005A1DC6" w:rsidRDefault="005A1DC6" w:rsidP="005A1DC6">
      <w:pPr>
        <w:ind w:firstLineChars="400" w:firstLine="88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36.5pt;margin-top:460.45pt;width:280.5pt;height:.05pt;z-index:251663360" stroked="f">
            <v:textbox style="mso-fit-shape-to-text:t" inset="0,0,0,0">
              <w:txbxContent>
                <w:p w:rsidR="005A1DC6" w:rsidRPr="000B6715" w:rsidRDefault="005A1DC6" w:rsidP="005A1DC6">
                  <w:pPr>
                    <w:pStyle w:val="a7"/>
                    <w:rPr>
                      <w:rFonts w:asciiTheme="minorEastAsia" w:hAnsiTheme="minorEastAsia" w:cs="ArialMT"/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5A1DC6">
        <w:rPr>
          <w:rFonts w:asciiTheme="minorEastAsia" w:eastAsiaTheme="minorEastAsia" w:hAnsiTheme="minorEastAsia" w:cs="ArialMT" w:hint="eastAsia"/>
          <w:b/>
          <w:sz w:val="28"/>
          <w:szCs w:val="28"/>
        </w:rPr>
        <w:t>5</w:t>
      </w:r>
      <w:r w:rsidRPr="005A1DC6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Pr="005A1DC6">
        <w:rPr>
          <w:rFonts w:asciiTheme="minorEastAsia" w:eastAsiaTheme="minorEastAsia" w:hAnsiTheme="minorEastAsia" w:hint="eastAsia"/>
          <w:sz w:val="28"/>
          <w:szCs w:val="28"/>
        </w:rPr>
        <w:t>在设计管道安装时，传感器或变送器放大器的上端应留有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5A1DC6">
          <w:rPr>
            <w:rFonts w:asciiTheme="minorEastAsia" w:eastAsiaTheme="minorEastAsia" w:hAnsiTheme="minorEastAsia" w:cs="ArialMT" w:hint="eastAsia"/>
            <w:sz w:val="28"/>
            <w:szCs w:val="28"/>
          </w:rPr>
          <w:t>500mm</w:t>
        </w:r>
      </w:smartTag>
      <w:r w:rsidRPr="005A1DC6">
        <w:rPr>
          <w:rFonts w:asciiTheme="minorEastAsia" w:eastAsiaTheme="minorEastAsia" w:hAnsiTheme="minorEastAsia" w:cs="ArialMT" w:hint="eastAsia"/>
          <w:sz w:val="28"/>
          <w:szCs w:val="28"/>
        </w:rPr>
        <w:t xml:space="preserve"> </w:t>
      </w:r>
      <w:r w:rsidRPr="005A1DC6">
        <w:rPr>
          <w:rFonts w:asciiTheme="minorEastAsia" w:eastAsiaTheme="minorEastAsia" w:hAnsiTheme="minorEastAsia" w:hint="eastAsia"/>
          <w:sz w:val="28"/>
          <w:szCs w:val="28"/>
        </w:rPr>
        <w:t>空间，以方便调试和检修</w:t>
      </w:r>
      <w:r>
        <w:rPr>
          <w:rFonts w:asciiTheme="minorEastAsia" w:eastAsiaTheme="minorEastAsia" w:hAnsiTheme="minorEastAsia" w:cs="ArialMT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-328930</wp:posOffset>
            </wp:positionV>
            <wp:extent cx="4590415" cy="3219450"/>
            <wp:effectExtent l="19050" t="0" r="63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DC6" w:rsidRDefault="006530E0" w:rsidP="005A1DC6">
      <w:pPr>
        <w:autoSpaceDE w:val="0"/>
        <w:autoSpaceDN w:val="0"/>
        <w:spacing w:line="320" w:lineRule="exact"/>
        <w:ind w:firstLineChars="200" w:firstLine="440"/>
        <w:rPr>
          <w:rFonts w:asciiTheme="minorEastAsia" w:eastAsiaTheme="minorEastAsia" w:hAnsiTheme="minorEastAsia" w:cs="黑体" w:hint="eastAsia"/>
          <w:szCs w:val="21"/>
        </w:rPr>
      </w:pPr>
      <w:r>
        <w:rPr>
          <w:rFonts w:asciiTheme="minorEastAsia" w:eastAsiaTheme="minorEastAsia" w:hAnsiTheme="minorEastAsia" w:cs="黑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187325</wp:posOffset>
            </wp:positionV>
            <wp:extent cx="3562350" cy="4953000"/>
            <wp:effectExtent l="1905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DC6" w:rsidRPr="005A1DC6" w:rsidRDefault="005A1DC6" w:rsidP="005A1DC6">
      <w:pPr>
        <w:autoSpaceDE w:val="0"/>
        <w:autoSpaceDN w:val="0"/>
        <w:spacing w:line="320" w:lineRule="exact"/>
        <w:ind w:firstLineChars="200" w:firstLine="440"/>
        <w:rPr>
          <w:rFonts w:asciiTheme="minorEastAsia" w:eastAsiaTheme="minorEastAsia" w:hAnsiTheme="minorEastAsia" w:cs="黑体" w:hint="eastAsia"/>
          <w:szCs w:val="21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Pr="005A1DC6" w:rsidRDefault="005A1DC6" w:rsidP="005A1DC6">
      <w:pPr>
        <w:rPr>
          <w:rFonts w:asciiTheme="minorEastAsia" w:eastAsiaTheme="minorEastAsia" w:hAnsiTheme="minorEastAsia" w:hint="eastAsia"/>
          <w:sz w:val="28"/>
          <w:szCs w:val="28"/>
        </w:rPr>
      </w:pPr>
    </w:p>
    <w:p w:rsidR="005A1DC6" w:rsidRPr="005A1DC6" w:rsidRDefault="005A1DC6" w:rsidP="005A1DC6">
      <w:pPr>
        <w:pStyle w:val="2"/>
        <w:rPr>
          <w:rFonts w:asciiTheme="minorEastAsia" w:eastAsiaTheme="minorEastAsia" w:hAnsiTheme="minorEastAsia" w:hint="eastAsia"/>
          <w:szCs w:val="28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5A1DC6" w:rsidRDefault="006530E0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  <w:r>
        <w:rPr>
          <w:noProof/>
        </w:rPr>
        <w:pict>
          <v:shape id="_x0000_s1032" type="#_x0000_t202" style="position:absolute;margin-left:-2in;margin-top:66pt;width:335.8pt;height:36.1pt;z-index:251665408" stroked="f">
            <v:textbox inset="0,0,0,0">
              <w:txbxContent>
                <w:p w:rsidR="005A1DC6" w:rsidRPr="006530E0" w:rsidRDefault="006530E0" w:rsidP="006530E0">
                  <w:pPr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6530E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直管段预留示意图</w:t>
                  </w:r>
                </w:p>
              </w:txbxContent>
            </v:textbox>
            <w10:wrap type="square"/>
          </v:shape>
        </w:pict>
      </w:r>
    </w:p>
    <w:p w:rsidR="005A1DC6" w:rsidRDefault="006530E0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  <w:r>
        <w:rPr>
          <w:noProof/>
        </w:rPr>
        <w:lastRenderedPageBreak/>
        <w:pict>
          <v:shape id="_x0000_s1034" type="#_x0000_t202" style="position:absolute;margin-left:21pt;margin-top:261.75pt;width:361.45pt;height:.05pt;z-index:251668480" stroked="f">
            <v:textbox style="mso-fit-shape-to-text:t" inset="0,0,0,0">
              <w:txbxContent>
                <w:p w:rsidR="006530E0" w:rsidRPr="006530E0" w:rsidRDefault="006530E0" w:rsidP="006530E0">
                  <w:pPr>
                    <w:pStyle w:val="a7"/>
                    <w:ind w:firstLineChars="1400" w:firstLine="2800"/>
                    <w:rPr>
                      <w:rFonts w:asciiTheme="minorEastAsia" w:eastAsiaTheme="minorEastAsia" w:hAnsiTheme="minorEastAsia" w:cs="ArialUnicodeMS"/>
                      <w:noProof/>
                    </w:rPr>
                  </w:pPr>
                  <w:r w:rsidRPr="006530E0">
                    <w:rPr>
                      <w:rFonts w:asciiTheme="minorEastAsia" w:eastAsiaTheme="minorEastAsia" w:hAnsiTheme="minorEastAsia" w:cs="ArialUnicodeMS" w:hint="eastAsia"/>
                      <w:noProof/>
                    </w:rPr>
                    <w:t>直管段缩颈示意图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="ArialUnicodeMS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47625</wp:posOffset>
            </wp:positionV>
            <wp:extent cx="4590415" cy="3219450"/>
            <wp:effectExtent l="19050" t="0" r="63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DC6" w:rsidRDefault="005A1DC6" w:rsidP="005A1DC6">
      <w:pPr>
        <w:tabs>
          <w:tab w:val="left" w:pos="279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p w:rsidR="006530E0" w:rsidRDefault="006530E0" w:rsidP="005A1DC6">
      <w:pPr>
        <w:tabs>
          <w:tab w:val="left" w:pos="2790"/>
        </w:tabs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rPr>
          <w:rFonts w:asciiTheme="minorEastAsia" w:eastAsiaTheme="minorEastAsia" w:hAnsiTheme="minorEastAsia" w:cs="ArialUnicodeMS"/>
          <w:sz w:val="28"/>
          <w:szCs w:val="28"/>
        </w:rPr>
      </w:pPr>
    </w:p>
    <w:p w:rsidR="006530E0" w:rsidRPr="006530E0" w:rsidRDefault="006530E0" w:rsidP="006530E0">
      <w:pPr>
        <w:autoSpaceDE w:val="0"/>
        <w:autoSpaceDN w:val="0"/>
        <w:spacing w:line="320" w:lineRule="exact"/>
        <w:rPr>
          <w:rFonts w:asciiTheme="minorEastAsia" w:eastAsiaTheme="minorEastAsia" w:hAnsiTheme="minorEastAsia" w:cs="黑体" w:hint="eastAsia"/>
          <w:sz w:val="28"/>
          <w:szCs w:val="28"/>
        </w:rPr>
      </w:pPr>
      <w:r w:rsidRPr="006530E0">
        <w:rPr>
          <w:rFonts w:asciiTheme="minorEastAsia" w:eastAsiaTheme="minorEastAsia" w:hAnsiTheme="minorEastAsia" w:cs="ArialUnicodeMS"/>
          <w:sz w:val="28"/>
          <w:szCs w:val="28"/>
        </w:rPr>
        <w:tab/>
      </w:r>
      <w:r w:rsidRPr="006530E0">
        <w:rPr>
          <w:rFonts w:asciiTheme="minorEastAsia" w:eastAsiaTheme="minorEastAsia" w:hAnsiTheme="minorEastAsia" w:cs="黑体" w:hint="eastAsia"/>
          <w:sz w:val="28"/>
          <w:szCs w:val="28"/>
          <w:shd w:val="clear" w:color="auto" w:fill="A6A6A6"/>
        </w:rPr>
        <w:t>注</w:t>
      </w:r>
      <w:r w:rsidRPr="006530E0">
        <w:rPr>
          <w:rFonts w:asciiTheme="minorEastAsia" w:eastAsiaTheme="minorEastAsia" w:hAnsiTheme="minorEastAsia" w:cs="黑体" w:hint="eastAsia"/>
          <w:sz w:val="28"/>
          <w:szCs w:val="28"/>
        </w:rPr>
        <w:t>：当流量计需要温压补偿式时，压力变送器安装在流量计上游</w:t>
      </w:r>
      <w:r w:rsidRPr="006530E0">
        <w:rPr>
          <w:rFonts w:asciiTheme="minorEastAsia" w:eastAsiaTheme="minorEastAsia" w:hAnsiTheme="minorEastAsia" w:cs="Arial" w:hint="eastAsia"/>
          <w:bCs/>
          <w:sz w:val="28"/>
          <w:szCs w:val="28"/>
        </w:rPr>
        <w:t>1D</w:t>
      </w:r>
      <w:r w:rsidRPr="006530E0">
        <w:rPr>
          <w:rFonts w:asciiTheme="minorEastAsia" w:eastAsiaTheme="minorEastAsia" w:hAnsiTheme="minorEastAsia" w:cs="黑体" w:hint="eastAsia"/>
          <w:sz w:val="28"/>
          <w:szCs w:val="28"/>
        </w:rPr>
        <w:t>，测温元件（通常用铂电</w:t>
      </w:r>
    </w:p>
    <w:p w:rsidR="005A1DC6" w:rsidRDefault="006530E0" w:rsidP="006530E0">
      <w:pPr>
        <w:tabs>
          <w:tab w:val="left" w:pos="3480"/>
        </w:tabs>
        <w:rPr>
          <w:rFonts w:asciiTheme="minorEastAsia" w:eastAsiaTheme="minorEastAsia" w:hAnsiTheme="minorEastAsia" w:cs="Arial" w:hint="eastAsia"/>
          <w:bCs/>
          <w:sz w:val="28"/>
          <w:szCs w:val="28"/>
        </w:rPr>
      </w:pPr>
      <w:r w:rsidRPr="006530E0">
        <w:rPr>
          <w:rFonts w:asciiTheme="minorEastAsia" w:eastAsiaTheme="minorEastAsia" w:hAnsiTheme="minorEastAsia" w:cs="黑体" w:hint="eastAsia"/>
          <w:sz w:val="28"/>
          <w:szCs w:val="28"/>
        </w:rPr>
        <w:t>阻）安装在下游</w:t>
      </w:r>
      <w:r w:rsidRPr="006530E0">
        <w:rPr>
          <w:rFonts w:asciiTheme="minorEastAsia" w:eastAsiaTheme="minorEastAsia" w:hAnsiTheme="minorEastAsia" w:cs="Arial" w:hint="eastAsia"/>
          <w:bCs/>
          <w:sz w:val="28"/>
          <w:szCs w:val="28"/>
        </w:rPr>
        <w:t>3</w:t>
      </w:r>
      <w:r w:rsidRPr="006530E0">
        <w:rPr>
          <w:rFonts w:asciiTheme="minorEastAsia" w:eastAsiaTheme="minorEastAsia" w:hAnsiTheme="minorEastAsia" w:cs="黑体" w:hint="eastAsia"/>
          <w:sz w:val="28"/>
          <w:szCs w:val="28"/>
        </w:rPr>
        <w:t>～</w:t>
      </w:r>
      <w:r w:rsidRPr="006530E0">
        <w:rPr>
          <w:rFonts w:asciiTheme="minorEastAsia" w:eastAsiaTheme="minorEastAsia" w:hAnsiTheme="minorEastAsia" w:cs="Arial" w:hint="eastAsia"/>
          <w:bCs/>
          <w:sz w:val="28"/>
          <w:szCs w:val="28"/>
        </w:rPr>
        <w:t>5D</w:t>
      </w:r>
    </w:p>
    <w:p w:rsidR="006530E0" w:rsidRPr="006530E0" w:rsidRDefault="006530E0" w:rsidP="006530E0">
      <w:pPr>
        <w:pStyle w:val="2"/>
        <w:rPr>
          <w:rFonts w:asciiTheme="minorEastAsia" w:eastAsiaTheme="minorEastAsia" w:hAnsiTheme="minorEastAsia" w:cs="ArialUnicodeMS" w:hint="eastAsia"/>
          <w:color w:val="000000"/>
          <w:kern w:val="0"/>
          <w:szCs w:val="28"/>
        </w:rPr>
      </w:pPr>
      <w:r w:rsidRPr="006530E0">
        <w:rPr>
          <w:rFonts w:asciiTheme="minorEastAsia" w:eastAsiaTheme="minorEastAsia" w:hAnsiTheme="minorEastAsia" w:cs="ArialUnicodeMS" w:hint="eastAsia"/>
          <w:color w:val="000000"/>
          <w:kern w:val="0"/>
          <w:szCs w:val="28"/>
        </w:rPr>
        <w:t>分体型涡街计安装与配线设计</w:t>
      </w:r>
    </w:p>
    <w:p w:rsidR="006530E0" w:rsidRDefault="006530E0" w:rsidP="006530E0">
      <w:pPr>
        <w:tabs>
          <w:tab w:val="left" w:pos="3480"/>
        </w:tabs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</w:pPr>
      <w:r w:rsidRPr="006530E0">
        <w:rPr>
          <w:rFonts w:asciiTheme="minorEastAsia" w:eastAsiaTheme="minorEastAsia" w:hAnsiTheme="minorEastAsia" w:cs="ArialUnicodeMS" w:hint="eastAsia"/>
          <w:color w:val="000000"/>
          <w:sz w:val="28"/>
          <w:szCs w:val="28"/>
        </w:rPr>
        <w:t>分体型涡街流量传感器（变送器）用于工作在潮湿环境或温度较高的地方，放大器部分与表体分离安装，能适用于各种现场。它的安装见图</w:t>
      </w:r>
    </w:p>
    <w:p w:rsidR="006530E0" w:rsidRDefault="006530E0" w:rsidP="006530E0">
      <w:pPr>
        <w:tabs>
          <w:tab w:val="left" w:pos="348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  <w:r>
        <w:rPr>
          <w:rFonts w:ascii="宋体" w:hAnsi="ArialMT" w:cs="ArialMT"/>
          <w:noProof/>
          <w:szCs w:val="21"/>
        </w:rPr>
        <w:drawing>
          <wp:inline distT="0" distB="0" distL="0" distR="0">
            <wp:extent cx="5267325" cy="2781300"/>
            <wp:effectExtent l="19050" t="0" r="9525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0E0" w:rsidRDefault="006530E0" w:rsidP="006530E0">
      <w:pPr>
        <w:rPr>
          <w:rFonts w:hint="eastAsia"/>
        </w:rPr>
      </w:pPr>
      <w:r w:rsidRPr="006530E0">
        <w:rPr>
          <w:rFonts w:asciiTheme="minorEastAsia" w:eastAsiaTheme="minorEastAsia" w:hAnsiTheme="minorEastAsia" w:hint="eastAsia"/>
          <w:sz w:val="28"/>
          <w:szCs w:val="28"/>
        </w:rPr>
        <w:lastRenderedPageBreak/>
        <w:t>分体型涡街流量传感器</w:t>
      </w:r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>/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变送器的表体部分与放大器之间采用</w:t>
      </w:r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>AVPV2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 w:rsidRPr="006530E0">
          <w:rPr>
            <w:rFonts w:asciiTheme="minorEastAsia" w:eastAsiaTheme="minorEastAsia" w:hAnsiTheme="minorEastAsia" w:cs="ArialMT" w:hint="eastAsia"/>
            <w:sz w:val="28"/>
            <w:szCs w:val="28"/>
          </w:rPr>
          <w:t>0.5mm</w:t>
        </w:r>
      </w:smartTag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 xml:space="preserve">2 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屏蔽电缆，表体与广大器最长分体距离为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米"/>
        </w:smartTagPr>
        <w:r w:rsidRPr="006530E0">
          <w:rPr>
            <w:rFonts w:asciiTheme="minorEastAsia" w:eastAsiaTheme="minorEastAsia" w:hAnsiTheme="minorEastAsia" w:cs="ArialMT" w:hint="eastAsia"/>
            <w:sz w:val="28"/>
            <w:szCs w:val="28"/>
          </w:rPr>
          <w:t xml:space="preserve">10 </w:t>
        </w:r>
        <w:r w:rsidRPr="006530E0">
          <w:rPr>
            <w:rFonts w:asciiTheme="minorEastAsia" w:eastAsiaTheme="minorEastAsia" w:hAnsiTheme="minorEastAsia" w:hint="eastAsia"/>
            <w:sz w:val="28"/>
            <w:szCs w:val="28"/>
          </w:rPr>
          <w:t>米</w:t>
        </w:r>
      </w:smartTag>
      <w:r w:rsidRPr="006530E0">
        <w:rPr>
          <w:rFonts w:asciiTheme="minorEastAsia" w:eastAsiaTheme="minorEastAsia" w:hAnsiTheme="minorEastAsia" w:hint="eastAsia"/>
          <w:sz w:val="28"/>
          <w:szCs w:val="28"/>
        </w:rPr>
        <w:t>。（出厂时已和表体部分连接好）放大器与显示仪或计算机测控设备间的连接分别采用</w:t>
      </w:r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>AVPV3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 w:rsidRPr="006530E0">
          <w:rPr>
            <w:rFonts w:asciiTheme="minorEastAsia" w:eastAsiaTheme="minorEastAsia" w:hAnsiTheme="minorEastAsia" w:cs="ArialMT" w:hint="eastAsia"/>
            <w:sz w:val="28"/>
            <w:szCs w:val="28"/>
          </w:rPr>
          <w:t>0.5mm</w:t>
        </w:r>
      </w:smartTag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 xml:space="preserve">2 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屏蔽电缆和</w:t>
      </w:r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>AVPV2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mm"/>
        </w:smartTagPr>
        <w:r w:rsidRPr="006530E0">
          <w:rPr>
            <w:rFonts w:asciiTheme="minorEastAsia" w:eastAsiaTheme="minorEastAsia" w:hAnsiTheme="minorEastAsia" w:cs="ArialMT" w:hint="eastAsia"/>
            <w:sz w:val="28"/>
            <w:szCs w:val="28"/>
          </w:rPr>
          <w:t>0.5mm</w:t>
        </w:r>
      </w:smartTag>
      <w:r w:rsidRPr="006530E0">
        <w:rPr>
          <w:rFonts w:asciiTheme="minorEastAsia" w:eastAsiaTheme="minorEastAsia" w:hAnsiTheme="minorEastAsia" w:cs="ArialMT" w:hint="eastAsia"/>
          <w:sz w:val="28"/>
          <w:szCs w:val="28"/>
        </w:rPr>
        <w:t xml:space="preserve">2 </w:t>
      </w:r>
      <w:r w:rsidRPr="006530E0">
        <w:rPr>
          <w:rFonts w:asciiTheme="minorEastAsia" w:eastAsiaTheme="minorEastAsia" w:hAnsiTheme="minorEastAsia" w:hint="eastAsia"/>
          <w:sz w:val="28"/>
          <w:szCs w:val="28"/>
        </w:rPr>
        <w:t>屏蔽电缆</w:t>
      </w:r>
      <w:r w:rsidRPr="00E249D0">
        <w:rPr>
          <w:rFonts w:hint="eastAsia"/>
        </w:rPr>
        <w:t>。</w:t>
      </w:r>
    </w:p>
    <w:p w:rsidR="006530E0" w:rsidRPr="006530E0" w:rsidRDefault="006530E0" w:rsidP="006530E0">
      <w:pPr>
        <w:pStyle w:val="2"/>
        <w:rPr>
          <w:rFonts w:asciiTheme="minorEastAsia" w:eastAsiaTheme="minorEastAsia" w:hAnsiTheme="minorEastAsia" w:hint="eastAsia"/>
          <w:szCs w:val="28"/>
        </w:rPr>
      </w:pPr>
      <w:r w:rsidRPr="006530E0">
        <w:rPr>
          <w:rFonts w:asciiTheme="minorEastAsia" w:eastAsiaTheme="minorEastAsia" w:hAnsiTheme="minorEastAsia" w:hint="eastAsia"/>
          <w:szCs w:val="28"/>
        </w:rPr>
        <w:t>工频干扰的消除及壳体接地</w:t>
      </w:r>
    </w:p>
    <w:p w:rsidR="006530E0" w:rsidRPr="006530E0" w:rsidRDefault="006530E0" w:rsidP="006530E0">
      <w:pPr>
        <w:rPr>
          <w:rFonts w:asciiTheme="minorEastAsia" w:eastAsiaTheme="minorEastAsia" w:hAnsiTheme="minorEastAsia" w:hint="eastAsia"/>
          <w:sz w:val="28"/>
          <w:szCs w:val="28"/>
        </w:rPr>
      </w:pPr>
      <w:r w:rsidRPr="006530E0">
        <w:rPr>
          <w:rFonts w:asciiTheme="minorEastAsia" w:eastAsiaTheme="minorEastAsia" w:hAnsiTheme="minorEastAsia" w:hint="eastAsia"/>
          <w:sz w:val="28"/>
          <w:szCs w:val="28"/>
        </w:rPr>
        <w:tab/>
        <w:t>该产品信号处理电源部分电源与外部供电采用隔离式DC－DC变换器，此方式结合前面提到的信号输入端二次浮地技术，可以很好的隔离工频干扰。</w:t>
      </w:r>
    </w:p>
    <w:p w:rsidR="006530E0" w:rsidRDefault="006530E0" w:rsidP="006530E0">
      <w:pPr>
        <w:rPr>
          <w:rFonts w:ascii="宋体" w:hAnsi="ArialMT" w:cs="ArialMT" w:hint="eastAsia"/>
          <w:szCs w:val="21"/>
        </w:rPr>
      </w:pPr>
      <w:r w:rsidRPr="006530E0">
        <w:rPr>
          <w:rFonts w:asciiTheme="minorEastAsia" w:eastAsiaTheme="minorEastAsia" w:hAnsiTheme="minorEastAsia" w:hint="eastAsia"/>
          <w:sz w:val="28"/>
          <w:szCs w:val="28"/>
        </w:rPr>
        <w:tab/>
        <w:t>。产品现场应用时，系统供电的“电源－”不要和大地连接。当使用于工频干扰较大的测量场合，仪表壳体需要用导线可靠连接大地，以彻底消除工频干扰。</w:t>
      </w:r>
      <w:r>
        <w:rPr>
          <w:rFonts w:hint="eastAsia"/>
        </w:rPr>
        <w:tab/>
      </w:r>
    </w:p>
    <w:p w:rsidR="006530E0" w:rsidRPr="006530E0" w:rsidRDefault="006530E0" w:rsidP="006530E0">
      <w:pPr>
        <w:tabs>
          <w:tab w:val="left" w:pos="3480"/>
        </w:tabs>
        <w:rPr>
          <w:rFonts w:asciiTheme="minorEastAsia" w:eastAsiaTheme="minorEastAsia" w:hAnsiTheme="minorEastAsia" w:cs="ArialUnicodeMS" w:hint="eastAsia"/>
          <w:sz w:val="28"/>
          <w:szCs w:val="28"/>
        </w:rPr>
      </w:pPr>
    </w:p>
    <w:sectPr w:rsidR="006530E0" w:rsidRPr="006530E0" w:rsidSect="004358A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CD5" w:rsidRDefault="00B25CD5" w:rsidP="005A1DC6">
      <w:pPr>
        <w:spacing w:after="0"/>
      </w:pPr>
      <w:r>
        <w:separator/>
      </w:r>
    </w:p>
  </w:endnote>
  <w:endnote w:type="continuationSeparator" w:id="0">
    <w:p w:rsidR="00B25CD5" w:rsidRDefault="00B25CD5" w:rsidP="005A1D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ArialUnicodeMS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C6" w:rsidRDefault="005A1DC6" w:rsidP="005A1DC6">
    <w:pPr>
      <w:pStyle w:val="a4"/>
      <w:tabs>
        <w:tab w:val="clear" w:pos="4153"/>
        <w:tab w:val="clear" w:pos="8306"/>
        <w:tab w:val="left" w:pos="30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CD5" w:rsidRDefault="00B25CD5" w:rsidP="005A1DC6">
      <w:pPr>
        <w:spacing w:after="0"/>
      </w:pPr>
      <w:r>
        <w:separator/>
      </w:r>
    </w:p>
  </w:footnote>
  <w:footnote w:type="continuationSeparator" w:id="0">
    <w:p w:rsidR="00B25CD5" w:rsidRDefault="00B25CD5" w:rsidP="005A1DC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DC6" w:rsidRDefault="005A1DC6" w:rsidP="005A1DC6">
    <w:pPr>
      <w:pStyle w:val="a3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1DC6"/>
    <w:rsid w:val="006530E0"/>
    <w:rsid w:val="008B7726"/>
    <w:rsid w:val="00B25CD5"/>
    <w:rsid w:val="00D1094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qFormat/>
    <w:rsid w:val="005A1DC6"/>
    <w:pPr>
      <w:keepNext/>
      <w:keepLines/>
      <w:widowControl w:val="0"/>
      <w:adjustRightInd/>
      <w:snapToGrid/>
      <w:spacing w:before="280" w:after="240" w:line="280" w:lineRule="exact"/>
      <w:jc w:val="both"/>
      <w:outlineLvl w:val="1"/>
    </w:pPr>
    <w:rPr>
      <w:rFonts w:ascii="Times New Roman" w:eastAsia="宋体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DC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DC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D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DC6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rsid w:val="005A1DC6"/>
    <w:rPr>
      <w:rFonts w:ascii="Times New Roman" w:eastAsia="宋体" w:hAnsi="Times New Roman" w:cs="Times New Roman"/>
      <w:b/>
      <w:bCs/>
      <w:kern w:val="2"/>
      <w:sz w:val="28"/>
      <w:szCs w:val="32"/>
    </w:rPr>
  </w:style>
  <w:style w:type="paragraph" w:styleId="a5">
    <w:name w:val="No Spacing"/>
    <w:uiPriority w:val="1"/>
    <w:qFormat/>
    <w:rsid w:val="005A1DC6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6">
    <w:name w:val="Balloon Text"/>
    <w:basedOn w:val="a"/>
    <w:link w:val="Char1"/>
    <w:uiPriority w:val="99"/>
    <w:semiHidden/>
    <w:unhideWhenUsed/>
    <w:rsid w:val="005A1DC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1DC6"/>
    <w:rPr>
      <w:rFonts w:ascii="Tahoma" w:hAnsi="Tahoma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5A1DC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2017-07-13T01:41:00Z</dcterms:created>
  <dcterms:modified xsi:type="dcterms:W3CDTF">2017-07-13T01:41:00Z</dcterms:modified>
</cp:coreProperties>
</file>